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0B03F"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关于申请“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玩乐处方</w:t>
      </w:r>
      <w:r>
        <w:rPr>
          <w:rFonts w:hint="eastAsia" w:ascii="宋体" w:hAnsi="宋体" w:eastAsia="宋体"/>
          <w:b/>
          <w:sz w:val="36"/>
          <w:szCs w:val="36"/>
        </w:rPr>
        <w:t>”公益项目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资助支持</w:t>
      </w:r>
      <w:r>
        <w:rPr>
          <w:rFonts w:hint="eastAsia" w:ascii="宋体" w:hAnsi="宋体" w:eastAsia="宋体"/>
          <w:b/>
          <w:sz w:val="36"/>
          <w:szCs w:val="36"/>
        </w:rPr>
        <w:t>的函</w:t>
      </w:r>
    </w:p>
    <w:p w14:paraId="5E71B8E9">
      <w:pPr>
        <w:jc w:val="center"/>
        <w:rPr>
          <w:rFonts w:ascii="宋体" w:hAnsi="宋体" w:eastAsia="宋体"/>
          <w:b/>
          <w:sz w:val="36"/>
          <w:szCs w:val="36"/>
        </w:rPr>
      </w:pPr>
    </w:p>
    <w:p w14:paraId="716C8D2B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中国人口福利基金会：</w:t>
      </w:r>
    </w:p>
    <w:p w14:paraId="5D270A53">
      <w:pPr>
        <w:ind w:firstLine="600" w:firstLineChars="200"/>
        <w:jc w:val="left"/>
        <w:rPr>
          <w:rFonts w:hint="default" w:ascii="仿宋" w:hAnsi="仿宋" w:eastAsia="仿宋"/>
          <w:sz w:val="30"/>
          <w:szCs w:val="30"/>
          <w:highlight w:val="yellow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我单位</w:t>
      </w:r>
      <w:commentRangeStart w:id="0"/>
      <w:r>
        <w:rPr>
          <w:rFonts w:hint="eastAsia" w:ascii="仿宋" w:hAnsi="仿宋" w:eastAsia="仿宋"/>
          <w:sz w:val="30"/>
          <w:szCs w:val="30"/>
          <w:highlight w:val="yellow"/>
          <w:lang w:val="en-US" w:eastAsia="zh-CN"/>
        </w:rPr>
        <w:t>****</w:t>
      </w:r>
      <w:commentRangeEnd w:id="0"/>
      <w:r>
        <w:commentReference w:id="0"/>
      </w:r>
    </w:p>
    <w:p w14:paraId="45D8060A"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为了更好地满足</w:t>
      </w:r>
      <w:r>
        <w:rPr>
          <w:rFonts w:hint="eastAsia" w:ascii="仿宋" w:hAnsi="仿宋" w:eastAsia="仿宋"/>
          <w:sz w:val="30"/>
          <w:szCs w:val="30"/>
          <w:highlight w:val="yellow"/>
          <w:lang w:val="en-US" w:eastAsia="zh-CN"/>
        </w:rPr>
        <w:t>*****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需要，现向贵会申请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“玩乐处方”</w:t>
      </w:r>
      <w:r>
        <w:rPr>
          <w:rFonts w:hint="eastAsia" w:ascii="仿宋" w:hAnsi="仿宋" w:eastAsia="仿宋"/>
          <w:sz w:val="30"/>
          <w:szCs w:val="30"/>
        </w:rPr>
        <w:t>公益项目</w:t>
      </w:r>
      <w:r>
        <w:rPr>
          <w:rFonts w:hint="eastAsia" w:ascii="仿宋" w:hAnsi="仿宋" w:eastAsia="仿宋"/>
          <w:sz w:val="30"/>
          <w:szCs w:val="30"/>
          <w:lang w:eastAsia="zh-CN"/>
        </w:rPr>
        <w:t>资金及玩乐玩具资助支持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，主要用于</w:t>
      </w:r>
      <w:r>
        <w:rPr>
          <w:rFonts w:hint="eastAsia" w:ascii="仿宋" w:hAnsi="仿宋" w:eastAsia="仿宋"/>
          <w:sz w:val="30"/>
          <w:szCs w:val="30"/>
          <w:highlight w:val="yellow"/>
          <w:lang w:val="en-US" w:eastAsia="zh-CN"/>
        </w:rPr>
        <w:t>*****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等项目相关服务。</w:t>
      </w:r>
    </w:p>
    <w:p w14:paraId="00D17511">
      <w:pPr>
        <w:ind w:firstLine="60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请予以</w:t>
      </w:r>
      <w:r>
        <w:rPr>
          <w:rFonts w:hint="eastAsia" w:ascii="仿宋" w:hAnsi="仿宋" w:eastAsia="仿宋"/>
          <w:sz w:val="30"/>
          <w:szCs w:val="30"/>
          <w:lang w:eastAsia="zh-CN"/>
        </w:rPr>
        <w:t>支持</w:t>
      </w:r>
      <w:r>
        <w:rPr>
          <w:rFonts w:hint="eastAsia" w:ascii="仿宋" w:hAnsi="仿宋" w:eastAsia="仿宋"/>
          <w:sz w:val="30"/>
          <w:szCs w:val="30"/>
        </w:rPr>
        <w:t>为盼！</w:t>
      </w:r>
    </w:p>
    <w:p w14:paraId="56B172E0"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附件：“玩乐处方”</w:t>
      </w:r>
      <w:r>
        <w:rPr>
          <w:rFonts w:hint="eastAsia" w:ascii="仿宋" w:hAnsi="仿宋" w:eastAsia="仿宋"/>
          <w:sz w:val="30"/>
          <w:szCs w:val="30"/>
          <w:lang w:eastAsia="zh-CN"/>
        </w:rPr>
        <w:t>公益</w:t>
      </w:r>
      <w:r>
        <w:rPr>
          <w:rFonts w:hint="eastAsia" w:ascii="仿宋" w:hAnsi="仿宋" w:eastAsia="仿宋"/>
          <w:sz w:val="30"/>
          <w:szCs w:val="30"/>
        </w:rPr>
        <w:t>项目申请书</w:t>
      </w:r>
    </w:p>
    <w:p w14:paraId="3CAD6EDD"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</w:p>
    <w:p w14:paraId="6D4B2577"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</w:p>
    <w:p w14:paraId="4F184DC3">
      <w:pPr>
        <w:wordWrap w:val="0"/>
        <w:jc w:val="righ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highlight w:val="yellow"/>
        </w:rPr>
        <w:t>单位名称</w:t>
      </w:r>
      <w:r>
        <w:rPr>
          <w:rFonts w:hint="eastAsia" w:ascii="仿宋" w:hAnsi="仿宋" w:eastAsia="仿宋"/>
          <w:sz w:val="30"/>
          <w:szCs w:val="30"/>
        </w:rPr>
        <w:t>（盖章）：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</w:t>
      </w:r>
    </w:p>
    <w:p w14:paraId="545B9D31">
      <w:pPr>
        <w:jc w:val="right"/>
      </w:pPr>
      <w:r>
        <w:rPr>
          <w:rFonts w:hint="eastAsia" w:ascii="仿宋" w:hAnsi="仿宋" w:eastAsia="仿宋"/>
          <w:sz w:val="30"/>
          <w:szCs w:val="30"/>
          <w:highlight w:val="yellow"/>
        </w:rPr>
        <w:t>申请日期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日</w:t>
      </w:r>
    </w:p>
    <w:p w14:paraId="65FCEEED">
      <w:r>
        <w:br w:type="page"/>
      </w:r>
    </w:p>
    <w:p w14:paraId="2E28F3F6">
      <w:pPr>
        <w:jc w:val="center"/>
        <w:rPr>
          <w:rFonts w:hint="eastAsia" w:asciiTheme="majorEastAsia" w:hAnsiTheme="majorEastAsia" w:eastAsiaTheme="majorEastAsia" w:cstheme="majorEastAsia"/>
          <w:b/>
          <w:bCs/>
          <w:w w:val="95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5"/>
          <w:sz w:val="44"/>
          <w:szCs w:val="44"/>
        </w:rPr>
        <w:t>“玩乐处方”</w:t>
      </w:r>
      <w:r>
        <w:rPr>
          <w:rFonts w:hint="eastAsia" w:asciiTheme="majorEastAsia" w:hAnsiTheme="majorEastAsia" w:eastAsiaTheme="majorEastAsia" w:cstheme="majorEastAsia"/>
          <w:b/>
          <w:bCs/>
          <w:w w:val="95"/>
          <w:sz w:val="44"/>
          <w:szCs w:val="44"/>
          <w:lang w:eastAsia="zh-CN"/>
        </w:rPr>
        <w:t>公益</w:t>
      </w:r>
      <w:r>
        <w:rPr>
          <w:rFonts w:hint="eastAsia" w:asciiTheme="majorEastAsia" w:hAnsiTheme="majorEastAsia" w:eastAsiaTheme="majorEastAsia" w:cstheme="majorEastAsia"/>
          <w:b/>
          <w:bCs/>
          <w:w w:val="95"/>
          <w:sz w:val="44"/>
          <w:szCs w:val="44"/>
        </w:rPr>
        <w:t>项目申请书</w:t>
      </w:r>
    </w:p>
    <w:p w14:paraId="2FD34BC4">
      <w:pPr>
        <w:spacing w:line="600" w:lineRule="exact"/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</w:p>
    <w:p w14:paraId="007DA6E6">
      <w:pPr>
        <w:spacing w:line="600" w:lineRule="exact"/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一、项目背景</w:t>
      </w:r>
    </w:p>
    <w:p w14:paraId="5E3B9A13">
      <w:pPr>
        <w:spacing w:line="600" w:lineRule="exact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生命早期1000天是奠定健康和福祉的重要时期，其会影响整个童年、青春期和成年期的健康水平。交流玩耍是关爱儿童发展的核心策略，养育人与儿童进行良好的亲子互动是促进儿童心理健康发展的基石，能够为儿童提供早期学习机会和回应性照护，促进儿童早期发展。卫生服务提供者是最早接触儿童和养育人的专业人员,也是0-3岁儿童养育人最为信赖的专业人员，由他（她）们为儿童养育人提供亲子互动和交流玩耍的具体指导，有利于提升养育人对亲子互动的认知，促进其采取积极的养育行为，从而促进儿童早期发展。</w:t>
      </w:r>
    </w:p>
    <w:p w14:paraId="4207C208">
      <w:pPr>
        <w:spacing w:line="600" w:lineRule="exact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为进一步推进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本地亲子互动指导及</w:t>
      </w:r>
      <w:r>
        <w:rPr>
          <w:rFonts w:hint="eastAsia" w:ascii="仿宋" w:hAnsi="仿宋" w:eastAsia="仿宋" w:cs="Times New Roman"/>
          <w:sz w:val="28"/>
          <w:szCs w:val="28"/>
        </w:rPr>
        <w:t>儿童早期发展工作，提高卫生服务提供者相关服务能力，提升养育人育儿技能，促进儿童心理行为发育，现申请加入本项目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 w:cs="Times New Roman"/>
          <w:sz w:val="28"/>
          <w:szCs w:val="28"/>
        </w:rPr>
        <w:t>在本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省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/</w:t>
      </w:r>
      <w:r>
        <w:rPr>
          <w:rFonts w:hint="eastAsia" w:ascii="仿宋" w:hAnsi="仿宋" w:eastAsia="仿宋" w:cs="Times New Roman"/>
          <w:sz w:val="28"/>
          <w:szCs w:val="28"/>
        </w:rPr>
        <w:t>市实施开展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活动</w:t>
      </w:r>
      <w:r>
        <w:rPr>
          <w:rFonts w:hint="eastAsia" w:ascii="仿宋" w:hAnsi="仿宋" w:eastAsia="仿宋" w:cs="Times New Roman"/>
          <w:sz w:val="28"/>
          <w:szCs w:val="28"/>
        </w:rPr>
        <w:t>，更好助力家庭，惠及儿童</w:t>
      </w:r>
      <w:r>
        <w:rPr>
          <w:rFonts w:ascii="仿宋" w:hAnsi="仿宋" w:eastAsia="仿宋" w:cs="Times New Roman"/>
          <w:sz w:val="28"/>
          <w:szCs w:val="28"/>
        </w:rPr>
        <w:t>。</w:t>
      </w:r>
    </w:p>
    <w:p w14:paraId="3387F8F6">
      <w:pPr>
        <w:spacing w:line="600" w:lineRule="exact"/>
        <w:ind w:firstLine="560" w:firstLineChars="200"/>
        <w:jc w:val="left"/>
        <w:rPr>
          <w:rFonts w:hint="default" w:ascii="黑体" w:hAnsi="黑体" w:eastAsia="黑体" w:cs="黑体"/>
          <w:sz w:val="28"/>
          <w:szCs w:val="28"/>
          <w:lang w:val="en-US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二、项目目标</w:t>
      </w:r>
    </w:p>
    <w:p w14:paraId="5250CA33">
      <w:pPr>
        <w:spacing w:line="600" w:lineRule="exact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（一）提高各级儿童健康服务提供者的亲子互动咨询指导能力；</w:t>
      </w:r>
    </w:p>
    <w:p w14:paraId="15BC3128">
      <w:pPr>
        <w:spacing w:line="600" w:lineRule="exact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（二）提升4岁以下儿童养育人亲子互动的认知和技能；</w:t>
      </w:r>
    </w:p>
    <w:p w14:paraId="70D2C132">
      <w:pPr>
        <w:spacing w:line="600" w:lineRule="exact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（三）构建促进儿童早期发展的友好环境。</w:t>
      </w:r>
    </w:p>
    <w:p w14:paraId="4C4CF66D">
      <w:pPr>
        <w:spacing w:line="600" w:lineRule="exact"/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三、目标人群</w:t>
      </w:r>
    </w:p>
    <w:p w14:paraId="2E967038">
      <w:pPr>
        <w:spacing w:line="600" w:lineRule="exact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（一）儿童及其养育人：项目地区居住的48月龄以下的儿童及其养育人。</w:t>
      </w:r>
    </w:p>
    <w:p w14:paraId="7CC182E9">
      <w:pPr>
        <w:spacing w:line="600" w:lineRule="exact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（二）儿童健康服务提供者：开展项目的省、市、区（县）级妇幼保健机构和基层医疗卫生机构（社区卫生服务中心和乡镇卫生院）的儿童健康服务提供者，包括但不限于儿童保健人员。</w:t>
      </w:r>
    </w:p>
    <w:p w14:paraId="5D519123">
      <w:pPr>
        <w:spacing w:line="600" w:lineRule="exact"/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yellow"/>
          <w:lang w:val="en-US" w:eastAsia="zh-CN"/>
        </w:rPr>
        <w:t>四、项目地区</w:t>
      </w:r>
    </w:p>
    <w:tbl>
      <w:tblPr>
        <w:tblStyle w:val="8"/>
        <w:tblW w:w="85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558"/>
        <w:gridCol w:w="2873"/>
      </w:tblGrid>
      <w:tr w14:paraId="468A1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8944B4F"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项目牵头单位</w:t>
            </w:r>
          </w:p>
        </w:tc>
        <w:tc>
          <w:tcPr>
            <w:tcW w:w="3558" w:type="dxa"/>
          </w:tcPr>
          <w:p w14:paraId="5E77481B"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项目实施地区</w:t>
            </w:r>
          </w:p>
        </w:tc>
        <w:tc>
          <w:tcPr>
            <w:tcW w:w="2873" w:type="dxa"/>
          </w:tcPr>
          <w:p w14:paraId="0B68FBC6"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预计的受益儿童数（人）</w:t>
            </w:r>
          </w:p>
        </w:tc>
      </w:tr>
      <w:tr w14:paraId="5BCE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C5782C4">
            <w:pPr>
              <w:spacing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558" w:type="dxa"/>
          </w:tcPr>
          <w:p w14:paraId="5A7045CB">
            <w:pPr>
              <w:spacing w:line="600" w:lineRule="exact"/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350FBCBE">
            <w:pPr>
              <w:spacing w:line="600" w:lineRule="exact"/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873" w:type="dxa"/>
            <w:vAlign w:val="center"/>
          </w:tcPr>
          <w:p w14:paraId="65D9FA2F">
            <w:pPr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78CAD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gridSpan w:val="2"/>
          </w:tcPr>
          <w:p w14:paraId="5E0FADA8"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2873" w:type="dxa"/>
          </w:tcPr>
          <w:p w14:paraId="59816776"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14:paraId="3AA0440F">
      <w:pPr>
        <w:spacing w:line="600" w:lineRule="exact"/>
        <w:ind w:left="630" w:leftChars="300"/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五、项目活动</w:t>
      </w:r>
    </w:p>
    <w:p w14:paraId="7189E270">
      <w:pPr>
        <w:spacing w:line="600" w:lineRule="exact"/>
        <w:ind w:left="630" w:leftChars="3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）建立健全项目工作网络。</w:t>
      </w:r>
    </w:p>
    <w:p w14:paraId="0CF79E03">
      <w:pPr>
        <w:spacing w:line="600" w:lineRule="exact"/>
        <w:ind w:left="630" w:leftChars="3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遴选项目地区，构建项目工作网络。统筹考虑基层儿童早期发展的工作基础、项目参与意愿、0～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岁儿童数量及物资发放任务量，遴选项目地区，每个地区指定一名项目协调员，依托现有的儿童保健工作网络，构建健全完善的市-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区</w:t>
      </w:r>
      <w:r>
        <w:rPr>
          <w:rFonts w:hint="eastAsia" w:ascii="仿宋" w:hAnsi="仿宋" w:eastAsia="仿宋" w:cs="仿宋"/>
          <w:sz w:val="28"/>
          <w:szCs w:val="28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街</w:t>
      </w:r>
      <w:r>
        <w:rPr>
          <w:rFonts w:hint="eastAsia" w:ascii="仿宋" w:hAnsi="仿宋" w:eastAsia="仿宋" w:cs="仿宋"/>
          <w:sz w:val="28"/>
          <w:szCs w:val="28"/>
        </w:rPr>
        <w:t>乡项目工作网络，完善项目协调机制，为项目顺利实施提供保障。</w:t>
      </w:r>
    </w:p>
    <w:p w14:paraId="6C2A7237">
      <w:pPr>
        <w:spacing w:line="600" w:lineRule="exact"/>
        <w:ind w:left="630" w:leftChars="3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召开项目启动会。在国家级培训的基础上，组织召开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市级</w:t>
      </w:r>
      <w:r>
        <w:rPr>
          <w:rFonts w:hint="eastAsia" w:ascii="仿宋" w:hAnsi="仿宋" w:eastAsia="仿宋" w:cs="仿宋"/>
          <w:sz w:val="28"/>
          <w:szCs w:val="28"/>
        </w:rPr>
        <w:t>“玩乐处方”项目启动会，选择2-6个区启动项目，策划项目启动活动，邀请项目相关方、当地政府部门参与并督导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 w:cs="仿宋"/>
          <w:sz w:val="28"/>
          <w:szCs w:val="28"/>
        </w:rPr>
        <w:t>提升各项目地区对亲子互动的认知和理念，部署项目工作任务，将项目工作纳入到当地婴幼儿早期发展服务、基本公共卫生服务儿童健康管理服务中，促进项目可持续。</w:t>
      </w:r>
    </w:p>
    <w:p w14:paraId="747DB708">
      <w:pPr>
        <w:spacing w:line="600" w:lineRule="exact"/>
        <w:ind w:left="630" w:leftChars="3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）组织</w:t>
      </w:r>
      <w:r>
        <w:rPr>
          <w:rFonts w:hint="eastAsia" w:ascii="仿宋" w:hAnsi="仿宋" w:eastAsia="仿宋" w:cs="仿宋"/>
          <w:sz w:val="28"/>
          <w:szCs w:val="28"/>
        </w:rPr>
        <w:t>项目推进会。各项目地区根据项目进展情况，及时召开项目推进会，梳理和总结项目实施中的问题、挑战和经验，并及时督促，跟进项目进展，推动项目按计划实施。</w:t>
      </w:r>
    </w:p>
    <w:p w14:paraId="52F13E1B">
      <w:pPr>
        <w:spacing w:line="600" w:lineRule="exact"/>
        <w:ind w:left="630" w:leftChars="3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）组织亲子互动逐级培训。</w:t>
      </w:r>
      <w:r>
        <w:rPr>
          <w:rFonts w:hint="eastAsia" w:ascii="仿宋" w:hAnsi="仿宋" w:eastAsia="仿宋" w:cs="仿宋"/>
          <w:sz w:val="28"/>
          <w:szCs w:val="28"/>
        </w:rPr>
        <w:t>在国家级培训的基础上，各省份结合本地区实际，采用逐级培训的形式，对各项目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实施地区</w:t>
      </w:r>
      <w:r>
        <w:rPr>
          <w:rFonts w:hint="eastAsia" w:ascii="仿宋" w:hAnsi="仿宋" w:eastAsia="仿宋" w:cs="仿宋"/>
          <w:sz w:val="28"/>
          <w:szCs w:val="28"/>
        </w:rPr>
        <w:t>（县）社区卫生服务中心、乡镇卫生院的儿童健康服务提供者开展至少1场逐级培训活动，提升基层亲子互动的理念、认识和指导服务的能力。逐级培训可采用专题讲座、现场示范、分组演练相结合的方式开展，内容设计上应强化亲子互动指导的实践，促进基层健康服务提供者亲子互动指导的方法和技能的提升。培训时长以不低于1天为宜，培训前、培训后应填写班前、班后问卷，及时了解项目培训效果。</w:t>
      </w:r>
    </w:p>
    <w:p w14:paraId="073C8F56">
      <w:pPr>
        <w:spacing w:line="600" w:lineRule="exact"/>
        <w:ind w:left="630" w:leftChars="3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）组织</w:t>
      </w:r>
      <w:r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  <w:t>省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/市/区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级专家提供现场督导支持。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组建本地区项目专家团队，</w:t>
      </w:r>
      <w:r>
        <w:rPr>
          <w:rFonts w:hint="eastAsia" w:ascii="仿宋" w:hAnsi="仿宋" w:eastAsia="仿宋" w:cs="仿宋"/>
          <w:sz w:val="28"/>
          <w:szCs w:val="28"/>
        </w:rPr>
        <w:t>组织项目专家定期为已受训医护人员提供现场实操技术指导。</w:t>
      </w:r>
    </w:p>
    <w:p w14:paraId="11124725">
      <w:pPr>
        <w:spacing w:line="600" w:lineRule="exact"/>
        <w:ind w:left="630" w:leftChars="3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）开展亲子互动咨询指导服务。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组织经过培训的基层儿童保健医护人员为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4岁以下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儿童及其看护人提供面对面咨询、家庭小组活动、入户家访等形式服务。根据“玩乐处方”公益项目玩乐材料清单要求，</w:t>
      </w:r>
      <w:r>
        <w:rPr>
          <w:rFonts w:hint="eastAsia" w:ascii="仿宋" w:hAnsi="仿宋" w:eastAsia="仿宋" w:cs="仿宋"/>
          <w:sz w:val="28"/>
          <w:szCs w:val="28"/>
        </w:rPr>
        <w:t>为参与该项目的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实施单位</w:t>
      </w:r>
      <w:r>
        <w:rPr>
          <w:rFonts w:hint="eastAsia" w:ascii="仿宋" w:hAnsi="仿宋" w:eastAsia="仿宋" w:cs="仿宋"/>
          <w:sz w:val="28"/>
          <w:szCs w:val="28"/>
        </w:rPr>
        <w:t>提供玩乐材料，包括玩乐处方套装和其他适龄游戏材料。</w:t>
      </w:r>
    </w:p>
    <w:p w14:paraId="709D535E">
      <w:pPr>
        <w:spacing w:line="600" w:lineRule="exact"/>
        <w:ind w:left="630" w:leftChars="3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）组织激励交流活动。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策划至少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跨区域的经验分享会、研讨会、案例研讨、实地考察学习等激励与交流活动，</w:t>
      </w:r>
      <w:r>
        <w:rPr>
          <w:rFonts w:hint="eastAsia" w:ascii="仿宋" w:hAnsi="仿宋" w:eastAsia="仿宋" w:cs="仿宋"/>
          <w:sz w:val="28"/>
          <w:szCs w:val="28"/>
        </w:rPr>
        <w:t>邀请项目相关方、当地政府部门参与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，组织项目实施单位之间互相学习借鉴经验做法，宣传推广项目模式及经验。</w:t>
      </w:r>
    </w:p>
    <w:p w14:paraId="4FE7792D">
      <w:pPr>
        <w:spacing w:line="600" w:lineRule="exact"/>
        <w:ind w:left="630" w:leftChars="3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六、项目管理</w:t>
      </w:r>
    </w:p>
    <w:p w14:paraId="4AA8D347">
      <w:pPr>
        <w:spacing w:line="600" w:lineRule="exact"/>
        <w:ind w:left="630" w:leftChars="300"/>
        <w:jc w:val="left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（一）项目牵头单位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组织分工</w:t>
      </w:r>
    </w:p>
    <w:p w14:paraId="744FB6E7"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为保证项目有效实施，拟设立项目协调组负责项目组织实施。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执行团队人员构成和具体职责如下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46DF3B9A"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181C0FF9"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D30344A"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 w14:paraId="0E6C21C2">
      <w:pPr>
        <w:numPr>
          <w:ilvl w:val="0"/>
          <w:numId w:val="2"/>
        </w:numPr>
        <w:spacing w:line="600" w:lineRule="exact"/>
        <w:ind w:left="630" w:leftChars="300"/>
        <w:jc w:val="left"/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各级项目管理机构及职责</w:t>
      </w:r>
    </w:p>
    <w:p w14:paraId="1D4A80AD">
      <w:pPr>
        <w:spacing w:line="600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牵头单位</w:t>
      </w:r>
    </w:p>
    <w:p w14:paraId="19D5515A"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（1）负责项目日常管理。与中国人口福利基金会签订捐赠协议，做好捐赠物品的接收、储存、发放和登记，完成项目相关数据的收集与汇总，落实省内培训和调研等工作；</w:t>
      </w:r>
    </w:p>
    <w:p w14:paraId="000E63B0"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（2）积极推动项目进展。组织召开项目推进会，推动项目按计划实施；定期收集项目单位的项目执行情况信息，并给予技术支持；与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国家级</w:t>
      </w:r>
      <w:r>
        <w:rPr>
          <w:rFonts w:hint="eastAsia" w:ascii="仿宋" w:hAnsi="仿宋" w:eastAsia="仿宋" w:cs="仿宋"/>
          <w:sz w:val="28"/>
          <w:szCs w:val="28"/>
        </w:rPr>
        <w:t>项目组保持密切交流，按时完成项目工作；</w:t>
      </w:r>
    </w:p>
    <w:p w14:paraId="6F1B50E4"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（3）按项目要求管理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和执行</w:t>
      </w:r>
      <w:r>
        <w:rPr>
          <w:rFonts w:hint="eastAsia" w:ascii="仿宋" w:hAnsi="仿宋" w:eastAsia="仿宋" w:cs="仿宋"/>
          <w:sz w:val="28"/>
          <w:szCs w:val="28"/>
        </w:rPr>
        <w:t>经费、专款专用，及时报账，按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要求</w:t>
      </w:r>
      <w:r>
        <w:rPr>
          <w:rFonts w:hint="eastAsia" w:ascii="仿宋" w:hAnsi="仿宋" w:eastAsia="仿宋" w:cs="仿宋"/>
          <w:sz w:val="28"/>
          <w:szCs w:val="28"/>
        </w:rPr>
        <w:t>提交项目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实施</w:t>
      </w:r>
      <w:r>
        <w:rPr>
          <w:rFonts w:hint="eastAsia" w:ascii="仿宋" w:hAnsi="仿宋" w:eastAsia="仿宋" w:cs="仿宋"/>
          <w:sz w:val="28"/>
          <w:szCs w:val="28"/>
        </w:rPr>
        <w:t>报告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及相应凭证资料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4325F04">
      <w:pPr>
        <w:spacing w:line="600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2、区级和社区（乡镇）级卫生健康服务机构</w:t>
      </w:r>
    </w:p>
    <w:p w14:paraId="2D7EBDEC"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（1）负责项目的实施落地。按照项目要求为目标人群提供亲子互动咨询指导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</w:rPr>
        <w:t>服务。</w:t>
      </w:r>
    </w:p>
    <w:p w14:paraId="40FFA212"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（2）做好项目物资接收、出入库和发放登记。</w:t>
      </w:r>
    </w:p>
    <w:p w14:paraId="75E11012"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（3）积极参与项目组织的培训和交流，认真进行技术实践，不断提升业务能力，并积极组织院内学习和同伴教育；</w:t>
      </w:r>
    </w:p>
    <w:p w14:paraId="6E9ADC22"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（4）按项目要求收集和管理有关信息和数据，确保数据的客观真实、及时上报。</w:t>
      </w:r>
    </w:p>
    <w:p w14:paraId="192A9C8D"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（5）按照项目要求管理和执行项目经费。</w:t>
      </w:r>
    </w:p>
    <w:p w14:paraId="534DEB8C">
      <w:pPr>
        <w:numPr>
          <w:ilvl w:val="0"/>
          <w:numId w:val="0"/>
        </w:numPr>
        <w:spacing w:line="600" w:lineRule="exact"/>
        <w:ind w:leftChars="292"/>
        <w:jc w:val="left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（三）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实施流程</w:t>
      </w:r>
    </w:p>
    <w:p w14:paraId="646B68BF"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服务提供者在提供0～4岁儿童健康体检后，根据项目实施方案，开展儿童亲子互动指导服务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儿童及其养育人首次参加项目活动时，卫生服务提供者将玩具发放给养育人，用于演示亲子互动技巧或鼓励亲子互动，后续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基本公共卫生服务随访时关注此方面情况进行亲子互动</w:t>
      </w:r>
      <w:r>
        <w:rPr>
          <w:rFonts w:hint="eastAsia" w:ascii="仿宋" w:hAnsi="仿宋" w:eastAsia="仿宋" w:cs="仿宋"/>
          <w:sz w:val="28"/>
          <w:szCs w:val="28"/>
        </w:rPr>
        <w:t>指导不再发放玩具。对于高危儿、发育偏离儿童，鼓励每1～2月随访1次了解亲子互动和发育情况。每次咨询指导后，应告知儿童养育人下一次的随访时间，发放育儿指导宣传材料，督促养育人每天与儿童开展10～15分钟的家庭亲子互动活动。并在下次随访时了解近期家庭亲子互动及玩具使用情况。</w:t>
      </w:r>
    </w:p>
    <w:p w14:paraId="7D729FE3"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项目捐赠玩具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等玩乐材料</w:t>
      </w:r>
      <w:r>
        <w:rPr>
          <w:rFonts w:hint="eastAsia" w:ascii="仿宋" w:hAnsi="仿宋" w:eastAsia="仿宋" w:cs="仿宋"/>
          <w:sz w:val="28"/>
          <w:szCs w:val="28"/>
        </w:rPr>
        <w:t>将免费发放给开展“玩乐处方”儿童心理行为发育适宜技术开发项目地区的0-48月龄儿童。本机构将根据各项目区上报的计划覆盖的儿童人数，将捐赠玩具分发至各项目单位。市区两级项目单位将做好捐赠玩具的接收、入库、储存、出库、发放和各环节的登记工作。</w:t>
      </w:r>
    </w:p>
    <w:p w14:paraId="03674960">
      <w:pPr>
        <w:numPr>
          <w:ilvl w:val="0"/>
          <w:numId w:val="0"/>
        </w:numPr>
        <w:spacing w:line="600" w:lineRule="exact"/>
        <w:ind w:leftChars="292"/>
        <w:jc w:val="left"/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（四）项目资金管理</w:t>
      </w:r>
    </w:p>
    <w:p w14:paraId="0393844C"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项目资金为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公益捐赠款项（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非财政经费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将</w:t>
      </w:r>
      <w:r>
        <w:rPr>
          <w:rFonts w:hint="eastAsia" w:ascii="仿宋" w:hAnsi="仿宋" w:eastAsia="仿宋" w:cs="仿宋"/>
          <w:sz w:val="28"/>
          <w:szCs w:val="28"/>
        </w:rPr>
        <w:t>坚持专款专用、公开透明、整合使用原则，实行分账核算和报账制管理，杜绝虚报冒领、挤占挪用、浪费资金、经费落实不到位等现象的的发生。项目经费可支付的主要活动如下。</w:t>
      </w:r>
    </w:p>
    <w:p w14:paraId="576DED2D"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会议/培训费：包括住宿、伙食、场地/设备租赁费用、交通费、材料费、专家差旅费、专家咨询费，参加会议/培训产生的交通费等。</w:t>
      </w:r>
    </w:p>
    <w:p w14:paraId="45AA0C6C"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质量提升活动费用：包括调研时产生的专家每日食宿费用、专家交通费、专家咨询费。</w:t>
      </w:r>
    </w:p>
    <w:p w14:paraId="1B4FEDE8"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人员劳务费：包括误工补贴、同伴培训补贴等。</w:t>
      </w:r>
    </w:p>
    <w:p w14:paraId="3ECFBAE0"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其他：项目物资运输费、小额印刷费、复印费等。</w:t>
      </w:r>
    </w:p>
    <w:p w14:paraId="6857E596">
      <w:pPr>
        <w:numPr>
          <w:ilvl w:val="0"/>
          <w:numId w:val="0"/>
        </w:numPr>
        <w:spacing w:line="600" w:lineRule="exact"/>
        <w:ind w:leftChars="292"/>
        <w:jc w:val="left"/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（五）项目物资管理</w:t>
      </w:r>
    </w:p>
    <w:p w14:paraId="3327B6E2"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与中国人口福利基金会签订协议，接收其提供的儿童养育人亲子互动用具并做好物品查验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，监督</w:t>
      </w:r>
      <w:r>
        <w:rPr>
          <w:rFonts w:hint="eastAsia" w:ascii="仿宋" w:hAnsi="仿宋" w:eastAsia="仿宋" w:cs="仿宋"/>
          <w:sz w:val="28"/>
          <w:szCs w:val="28"/>
        </w:rPr>
        <w:t>各级实施单位做好项目工具的接收和分发登记，确保将亲子互动工具用于项目服务对象/目标人群。</w:t>
      </w:r>
    </w:p>
    <w:p w14:paraId="391E17BA">
      <w:pPr>
        <w:numPr>
          <w:ilvl w:val="0"/>
          <w:numId w:val="0"/>
        </w:numPr>
        <w:spacing w:line="600" w:lineRule="exact"/>
        <w:ind w:leftChars="292"/>
        <w:jc w:val="left"/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（六）项目档案管理</w:t>
      </w:r>
    </w:p>
    <w:p w14:paraId="239D6E35"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项目档案包括项目实施期间各种项目活动形成的文字、图片、照片、影像资料以及实物样品等不同形式的资料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，监督各</w:t>
      </w:r>
      <w:r>
        <w:rPr>
          <w:rFonts w:hint="eastAsia" w:ascii="仿宋" w:hAnsi="仿宋" w:eastAsia="仿宋" w:cs="仿宋"/>
          <w:sz w:val="28"/>
          <w:szCs w:val="28"/>
        </w:rPr>
        <w:t>项目实施单位妥善保管项目档案和相关资料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1B58960">
      <w:pPr>
        <w:spacing w:line="600" w:lineRule="exact"/>
        <w:ind w:left="630" w:leftChars="300"/>
        <w:jc w:val="left"/>
        <w:rPr>
          <w:rFonts w:hint="eastAsia" w:ascii="仿宋" w:hAnsi="仿宋" w:eastAsia="仿宋" w:cs="仿宋"/>
          <w:sz w:val="28"/>
          <w:szCs w:val="28"/>
          <w:highlight w:val="yellow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yellow"/>
          <w:lang w:eastAsia="zh-CN"/>
        </w:rPr>
        <w:t>七、项目预算</w:t>
      </w:r>
    </w:p>
    <w:tbl>
      <w:tblPr>
        <w:tblStyle w:val="7"/>
        <w:tblW w:w="83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55"/>
        <w:gridCol w:w="4894"/>
        <w:gridCol w:w="1250"/>
      </w:tblGrid>
      <w:tr w14:paraId="49E47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F501B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11D6F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eastAsia="zh-CN" w:bidi="ar"/>
              </w:rPr>
              <w:t>预算科目</w:t>
            </w:r>
          </w:p>
        </w:tc>
        <w:tc>
          <w:tcPr>
            <w:tcW w:w="4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30E74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eastAsia="zh-CN" w:bidi="ar"/>
              </w:rPr>
              <w:t>预算</w:t>
            </w:r>
            <w:commentRangeStart w:id="1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eastAsia="zh-CN" w:bidi="ar"/>
              </w:rPr>
              <w:t>明细</w:t>
            </w:r>
            <w:commentRangeEnd w:id="1"/>
            <w:r>
              <w:commentReference w:id="1"/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A9D9E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eastAsia="zh-CN" w:bidi="ar"/>
              </w:rPr>
              <w:t>金额（元）</w:t>
            </w:r>
          </w:p>
        </w:tc>
      </w:tr>
      <w:tr w14:paraId="7C78D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C0CB4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029AF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建立项目工作网络</w:t>
            </w:r>
          </w:p>
        </w:tc>
        <w:tc>
          <w:tcPr>
            <w:tcW w:w="4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1840">
            <w:pPr>
              <w:widowControl/>
              <w:numPr>
                <w:ilvl w:val="-1"/>
                <w:numId w:val="0"/>
              </w:numPr>
              <w:snapToGrid w:val="0"/>
              <w:ind w:left="0" w:firstLine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76B4B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59CF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0BA51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67984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组织项目启动会</w:t>
            </w:r>
          </w:p>
        </w:tc>
        <w:tc>
          <w:tcPr>
            <w:tcW w:w="4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BA6A0">
            <w:pPr>
              <w:widowControl/>
              <w:numPr>
                <w:ilvl w:val="-1"/>
                <w:numId w:val="0"/>
              </w:numPr>
              <w:snapToGrid w:val="0"/>
              <w:ind w:left="0" w:firstLine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03D4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B2AD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7E658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C823B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组织能力建设培训（二级培训）</w:t>
            </w:r>
          </w:p>
        </w:tc>
        <w:tc>
          <w:tcPr>
            <w:tcW w:w="4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82DA7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3E95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1879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15EEF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A26B5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组织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省级专家提供现场督导支持</w:t>
            </w:r>
          </w:p>
        </w:tc>
        <w:tc>
          <w:tcPr>
            <w:tcW w:w="4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4FD64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90A6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AD57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64ECD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8698A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开展亲子互动指导服务</w:t>
            </w:r>
          </w:p>
        </w:tc>
        <w:tc>
          <w:tcPr>
            <w:tcW w:w="4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ACCD3">
            <w:pPr>
              <w:widowControl/>
              <w:numPr>
                <w:ilvl w:val="-1"/>
                <w:numId w:val="0"/>
              </w:numPr>
              <w:snapToGrid w:val="0"/>
              <w:ind w:left="0" w:firstLine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指定用于参与项目并按照项目要求为4岁以下儿童家庭开展亲子互动指导服务的医护人员发放劳务费，3元/儿童。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82CF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AF79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EF89C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43FB4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提供玩乐材料</w:t>
            </w:r>
          </w:p>
        </w:tc>
        <w:tc>
          <w:tcPr>
            <w:tcW w:w="4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63F17">
            <w:pPr>
              <w:widowControl/>
              <w:numPr>
                <w:ilvl w:val="-1"/>
                <w:numId w:val="0"/>
              </w:numPr>
              <w:snapToGrid w:val="0"/>
              <w:ind w:left="0" w:firstLine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玩具配送、接收库房存放费用:</w:t>
            </w:r>
          </w:p>
          <w:p w14:paraId="77573E93">
            <w:pPr>
              <w:widowControl/>
              <w:numPr>
                <w:ilvl w:val="-1"/>
                <w:numId w:val="0"/>
              </w:numPr>
              <w:snapToGrid w:val="0"/>
              <w:ind w:left="0" w:firstLine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18F54203">
            <w:pPr>
              <w:widowControl/>
              <w:numPr>
                <w:ilvl w:val="-1"/>
                <w:numId w:val="0"/>
              </w:numPr>
              <w:snapToGrid w:val="0"/>
              <w:ind w:left="0" w:firstLine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按基金会提供的清单采买给家庭的玩乐材料费用：</w:t>
            </w:r>
          </w:p>
          <w:p w14:paraId="1C383C70">
            <w:pPr>
              <w:widowControl/>
              <w:numPr>
                <w:ilvl w:val="-1"/>
                <w:numId w:val="0"/>
              </w:numPr>
              <w:snapToGrid w:val="0"/>
              <w:ind w:left="0" w:firstLine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178DDE7C">
            <w:pPr>
              <w:widowControl/>
              <w:numPr>
                <w:ilvl w:val="-1"/>
                <w:numId w:val="0"/>
              </w:numPr>
              <w:snapToGrid w:val="0"/>
              <w:ind w:left="0" w:firstLine="0"/>
              <w:jc w:val="left"/>
              <w:textAlignment w:val="center"/>
              <w:rPr>
                <w:rFonts w:hint="default" w:ascii="仿宋" w:hAnsi="仿宋" w:cs="仿宋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项目宣传材料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印制费：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F2C3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2BA4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88742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9AE72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组织激励交流活动</w:t>
            </w:r>
          </w:p>
        </w:tc>
        <w:tc>
          <w:tcPr>
            <w:tcW w:w="4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179E8">
            <w:pPr>
              <w:widowControl/>
              <w:numPr>
                <w:ilvl w:val="-1"/>
                <w:numId w:val="0"/>
              </w:numPr>
              <w:snapToGrid w:val="0"/>
              <w:ind w:left="0" w:firstLine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5B81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0070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EA107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FBBE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62CBC904">
      <w:pPr>
        <w:numPr>
          <w:ilvl w:val="0"/>
          <w:numId w:val="0"/>
        </w:numPr>
        <w:spacing w:line="600" w:lineRule="exact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yGuLY" w:date="2026-04-20T11:07:05Z" w:initials="">
    <w:p w14:paraId="0C72DA28">
      <w:pPr>
        <w:pStyle w:val="5"/>
      </w:pPr>
      <w:r>
        <w:rPr>
          <w:rFonts w:hint="eastAsia"/>
          <w:lang w:eastAsia="zh-CN"/>
        </w:rPr>
        <w:t>请简短介绍机构基本情况及亲子互动、儿童早期发展相关领域专业能力等。</w:t>
      </w:r>
    </w:p>
  </w:comment>
  <w:comment w:id="1" w:author="AyGuLY" w:date="2026-04-20T11:08:38Z" w:initials="">
    <w:p w14:paraId="710677BE">
      <w:pPr>
        <w:pStyle w:val="5"/>
        <w:rPr>
          <w:rFonts w:hint="eastAsia"/>
          <w:lang w:eastAsia="zh-CN"/>
        </w:rPr>
      </w:pPr>
      <w:r>
        <w:rPr>
          <w:rFonts w:hint="eastAsia"/>
          <w:lang w:eastAsia="zh-CN"/>
        </w:rPr>
        <w:t>请结合执行需要，细化资金预算</w:t>
      </w:r>
    </w:p>
    <w:p w14:paraId="156C224A">
      <w:pPr>
        <w:pStyle w:val="5"/>
      </w:pPr>
      <w:r>
        <w:rPr>
          <w:rFonts w:hint="eastAsia"/>
          <w:lang w:eastAsia="zh-CN"/>
        </w:rPr>
        <w:t>预算明细可从：人员劳务费、差旅费、会议和研讨会费用、设备和材料费用、其他等几方面细化。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C72DA28" w15:done="0"/>
  <w15:commentEx w15:paraId="156C224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9CB507"/>
    <w:multiLevelType w:val="singleLevel"/>
    <w:tmpl w:val="8A9CB50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4D86B33"/>
    <w:multiLevelType w:val="singleLevel"/>
    <w:tmpl w:val="24D86B33"/>
    <w:lvl w:ilvl="0" w:tentative="0">
      <w:start w:val="1"/>
      <w:numFmt w:val="chineseCounting"/>
      <w:pStyle w:val="2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yGuLY">
    <w15:presenceInfo w15:providerId="WPS Office" w15:userId="26197056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627B3"/>
    <w:rsid w:val="003C7C01"/>
    <w:rsid w:val="02445A7A"/>
    <w:rsid w:val="0A395E2F"/>
    <w:rsid w:val="0B380146"/>
    <w:rsid w:val="0B9A2BAF"/>
    <w:rsid w:val="0BB43C70"/>
    <w:rsid w:val="0BDE2A9B"/>
    <w:rsid w:val="0C266EBE"/>
    <w:rsid w:val="0D4B5661"/>
    <w:rsid w:val="0DF02CFF"/>
    <w:rsid w:val="12A247BD"/>
    <w:rsid w:val="13BA01BF"/>
    <w:rsid w:val="13BA3984"/>
    <w:rsid w:val="140D58CF"/>
    <w:rsid w:val="141F1EA3"/>
    <w:rsid w:val="148069F7"/>
    <w:rsid w:val="1490595E"/>
    <w:rsid w:val="14E75D58"/>
    <w:rsid w:val="156627B3"/>
    <w:rsid w:val="15BE1801"/>
    <w:rsid w:val="16AF5D6F"/>
    <w:rsid w:val="171B3768"/>
    <w:rsid w:val="197752D7"/>
    <w:rsid w:val="1A783C79"/>
    <w:rsid w:val="1A8C400A"/>
    <w:rsid w:val="1ADA4D76"/>
    <w:rsid w:val="1BEC6B0F"/>
    <w:rsid w:val="1EF67CA4"/>
    <w:rsid w:val="2010677F"/>
    <w:rsid w:val="21D4251F"/>
    <w:rsid w:val="235E4892"/>
    <w:rsid w:val="23863CED"/>
    <w:rsid w:val="253730CA"/>
    <w:rsid w:val="25BE4103"/>
    <w:rsid w:val="2663162B"/>
    <w:rsid w:val="26E00191"/>
    <w:rsid w:val="27D870F4"/>
    <w:rsid w:val="29E91AF0"/>
    <w:rsid w:val="2A797330"/>
    <w:rsid w:val="2E516871"/>
    <w:rsid w:val="2F326026"/>
    <w:rsid w:val="305D4027"/>
    <w:rsid w:val="30CE6CD3"/>
    <w:rsid w:val="31B63472"/>
    <w:rsid w:val="32C1585A"/>
    <w:rsid w:val="350D3465"/>
    <w:rsid w:val="35CE6E2D"/>
    <w:rsid w:val="3A282FB0"/>
    <w:rsid w:val="3BB75988"/>
    <w:rsid w:val="3BF5322F"/>
    <w:rsid w:val="3CB512F9"/>
    <w:rsid w:val="3DD94A15"/>
    <w:rsid w:val="3EF71B21"/>
    <w:rsid w:val="410D4CAE"/>
    <w:rsid w:val="423E4D4A"/>
    <w:rsid w:val="424141C8"/>
    <w:rsid w:val="43B43E59"/>
    <w:rsid w:val="478A34FC"/>
    <w:rsid w:val="480A1A9F"/>
    <w:rsid w:val="48674C76"/>
    <w:rsid w:val="48F350D1"/>
    <w:rsid w:val="4A7C7166"/>
    <w:rsid w:val="4CE92A73"/>
    <w:rsid w:val="4CF662CC"/>
    <w:rsid w:val="4D7F5185"/>
    <w:rsid w:val="4E54216E"/>
    <w:rsid w:val="4E6F2652"/>
    <w:rsid w:val="506B61F0"/>
    <w:rsid w:val="510E07AC"/>
    <w:rsid w:val="520617D2"/>
    <w:rsid w:val="521A36CE"/>
    <w:rsid w:val="521E3449"/>
    <w:rsid w:val="528B6C58"/>
    <w:rsid w:val="54A656ED"/>
    <w:rsid w:val="54D9161F"/>
    <w:rsid w:val="566D64C3"/>
    <w:rsid w:val="59F4537D"/>
    <w:rsid w:val="5B280C0A"/>
    <w:rsid w:val="5BF24D5F"/>
    <w:rsid w:val="5FE931D6"/>
    <w:rsid w:val="5FF20689"/>
    <w:rsid w:val="5FFC2665"/>
    <w:rsid w:val="60B21785"/>
    <w:rsid w:val="627F36F2"/>
    <w:rsid w:val="6390497C"/>
    <w:rsid w:val="648B1525"/>
    <w:rsid w:val="658036E1"/>
    <w:rsid w:val="66195A9A"/>
    <w:rsid w:val="6AC42EE1"/>
    <w:rsid w:val="6BEE72ED"/>
    <w:rsid w:val="6D882CE9"/>
    <w:rsid w:val="6DB4323D"/>
    <w:rsid w:val="6E34121C"/>
    <w:rsid w:val="6F1534DD"/>
    <w:rsid w:val="6F412293"/>
    <w:rsid w:val="6F9A2F0D"/>
    <w:rsid w:val="71963B10"/>
    <w:rsid w:val="73876AA3"/>
    <w:rsid w:val="74182CF8"/>
    <w:rsid w:val="753606CB"/>
    <w:rsid w:val="77821529"/>
    <w:rsid w:val="77C014F0"/>
    <w:rsid w:val="7B173F6D"/>
    <w:rsid w:val="7B197B97"/>
    <w:rsid w:val="7BC94123"/>
    <w:rsid w:val="7CAD4FF1"/>
    <w:rsid w:val="7E725B75"/>
    <w:rsid w:val="7F73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pacing w:before="240" w:line="360" w:lineRule="auto"/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eastAsia="楷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adjustRightInd w:val="0"/>
      <w:snapToGrid w:val="0"/>
      <w:spacing w:line="560" w:lineRule="exact"/>
      <w:ind w:firstLine="562"/>
      <w:outlineLvl w:val="2"/>
    </w:p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994</Words>
  <Characters>1013</Characters>
  <Lines>0</Lines>
  <Paragraphs>0</Paragraphs>
  <TotalTime>1</TotalTime>
  <ScaleCrop>false</ScaleCrop>
  <LinksUpToDate>false</LinksUpToDate>
  <CharactersWithSpaces>1050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2026-01-16T10:51:00Z</dcterms:created>
  <dc:creator>AyGuLY</dc:creator>
  <cp:lastModifiedBy>AyGuLY</cp:lastModifiedBy>
  <dcterms:modified xsi:type="dcterms:W3CDTF">2026-04-20T03:11:19Z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99E79EAD13FF440780E69525F324C95A_13</vt:lpwstr>
  </property>
  <property fmtid="{D5CDD505-2E9C-101B-9397-08002B2CF9AE}" pid="4" name="KSOTemplateDocerSaveRecord">
    <vt:lpwstr>eyJoZGlkIjoiNDRhNmViMDAxMjQzNGIwZGViNTVlNTk3OWQ4NjVhZjgiLCJ1c2VySWQiOiIyMjM2ODQ3NTEifQ==</vt:lpwstr>
  </property>
</Properties>
</file>